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00BC" w14:textId="0D8ED895" w:rsidR="00F16184" w:rsidRPr="00F16184" w:rsidRDefault="00F16184" w:rsidP="00F16184">
      <w:pPr>
        <w:spacing w:before="100" w:beforeAutospacing="1" w:after="100" w:afterAutospacing="1"/>
        <w:jc w:val="right"/>
        <w:outlineLvl w:val="2"/>
        <w:rPr>
          <w:rFonts w:ascii="Times New Roman" w:eastAsia="Times New Roman" w:hAnsi="Times New Roman" w:cs="Times New Roman"/>
          <w:szCs w:val="24"/>
          <w:lang w:val="en-US"/>
        </w:rPr>
      </w:pPr>
      <w:r w:rsidRPr="00F16184">
        <w:rPr>
          <w:rFonts w:ascii="Times New Roman" w:eastAsia="Times New Roman" w:hAnsi="Times New Roman" w:cs="Times New Roman"/>
          <w:szCs w:val="24"/>
          <w:lang w:val="en-US"/>
        </w:rPr>
        <w:t xml:space="preserve">July </w:t>
      </w:r>
      <w:r w:rsidR="008158B2">
        <w:rPr>
          <w:rFonts w:ascii="Times New Roman" w:eastAsia="Times New Roman" w:hAnsi="Times New Roman" w:cs="Times New Roman"/>
          <w:szCs w:val="24"/>
          <w:lang w:val="en-US"/>
        </w:rPr>
        <w:t>8</w:t>
      </w:r>
      <w:r w:rsidRPr="00F16184">
        <w:rPr>
          <w:rFonts w:ascii="Times New Roman" w:eastAsia="Times New Roman" w:hAnsi="Times New Roman" w:cs="Times New Roman"/>
          <w:szCs w:val="24"/>
          <w:lang w:val="en-US"/>
        </w:rPr>
        <w:t>, 2025</w:t>
      </w:r>
      <w:r w:rsidR="00A711B6">
        <w:rPr>
          <w:rFonts w:ascii="Times New Roman" w:eastAsia="Times New Roman" w:hAnsi="Times New Roman" w:cs="Times New Roman"/>
          <w:szCs w:val="24"/>
          <w:lang w:val="en-US"/>
        </w:rPr>
        <w:br/>
      </w:r>
    </w:p>
    <w:p w14:paraId="102DF85D" w14:textId="6C275863" w:rsidR="00D84D0C" w:rsidRPr="008158B2" w:rsidRDefault="007A2600" w:rsidP="008158B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Cs w:val="24"/>
          <w:lang w:val="en-US"/>
        </w:rPr>
      </w:pPr>
      <w:r w:rsidRPr="007A2600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Making the P/E Ratio a Truly Dynamic Valuation Metric: Gordon-Shapiro vs. Potential Payback Period (PPP)</w:t>
      </w:r>
      <w:r w:rsidR="00F16184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br/>
      </w:r>
      <w:r w:rsidR="00F16184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br/>
      </w:r>
      <w:r w:rsidR="00F16184" w:rsidRPr="00A711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By </w:t>
      </w:r>
      <w:proofErr w:type="spellStart"/>
      <w:r w:rsidR="00F16184" w:rsidRPr="00A711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Rainsy</w:t>
      </w:r>
      <w:proofErr w:type="spellEnd"/>
      <w:r w:rsidR="00F16184" w:rsidRPr="00A711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Sam</w:t>
      </w:r>
      <w:r w:rsidR="007D25E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br/>
      </w:r>
      <w:r w:rsidR="00440768">
        <w:rPr>
          <w:rFonts w:ascii="Times New Roman" w:eastAsia="Times New Roman" w:hAnsi="Times New Roman" w:cs="Times New Roman"/>
          <w:b/>
          <w:bCs/>
          <w:szCs w:val="24"/>
          <w:lang w:val="en-US"/>
        </w:rPr>
        <w:br/>
      </w:r>
      <w:r w:rsidR="00440768">
        <w:rPr>
          <w:rFonts w:ascii="Times New Roman" w:eastAsia="Times New Roman" w:hAnsi="Times New Roman" w:cs="Times New Roman"/>
          <w:b/>
          <w:bCs/>
          <w:szCs w:val="24"/>
          <w:lang w:val="en-US"/>
        </w:rPr>
        <w:br/>
      </w:r>
      <w:r w:rsidR="00440768" w:rsidRPr="00D84D0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A</w:t>
      </w:r>
      <w:r w:rsidR="00D84D0C" w:rsidRPr="00D84D0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bstract</w:t>
      </w:r>
      <w:r w:rsidR="0000048E">
        <w:rPr>
          <w:rFonts w:ascii="Times New Roman" w:eastAsia="Times New Roman" w:hAnsi="Times New Roman" w:cs="Times New Roman"/>
          <w:szCs w:val="24"/>
          <w:lang w:val="en-US"/>
        </w:rPr>
        <w:br/>
      </w:r>
      <w:r w:rsidR="0000048E" w:rsidRPr="00533821">
        <w:rPr>
          <w:rFonts w:ascii="Times New Roman" w:eastAsia="Times New Roman" w:hAnsi="Times New Roman" w:cs="Times New Roman"/>
          <w:sz w:val="10"/>
          <w:szCs w:val="10"/>
          <w:lang w:val="en-US"/>
        </w:rPr>
        <w:br/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The traditional Price-to-Earnings (P/E) ratio is widely used but remains static, overlooking growth, discounting, and risk. This article compares two models that address these limitations: the Gordon-Shapiro Model and the Potential Payback Period (PPP), a dynamic valuation framework initiated by the author. While the former projects dividends or earnings over an infinite horizon and requires that growth be lower than the discount rate (g</w:t>
      </w:r>
      <w:r w:rsidR="00EA06A8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&lt;</w:t>
      </w:r>
      <w:r w:rsidR="00EA06A8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>r)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, the PPP adopts a finite-horizon, logarithmic structure valid even when g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≥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r. By linking valuation to discounted earnings recovery, the PPP generalizes the raw P/E ratio and converges to it when g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=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r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=</w:t>
      </w:r>
      <w:r w:rsidR="00533821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="0000048E" w:rsidRPr="0000048E">
        <w:rPr>
          <w:rFonts w:ascii="Times New Roman" w:eastAsia="Times New Roman" w:hAnsi="Times New Roman" w:cs="Times New Roman"/>
          <w:szCs w:val="24"/>
          <w:lang w:val="en-US"/>
        </w:rPr>
        <w:t>0, highlighting its universality and versatility.</w:t>
      </w:r>
    </w:p>
    <w:p w14:paraId="59EF9166" w14:textId="77777777" w:rsidR="0000048E" w:rsidRDefault="0000048E" w:rsidP="0000048E">
      <w:pPr>
        <w:rPr>
          <w:rFonts w:ascii="Times New Roman" w:eastAsia="Times New Roman" w:hAnsi="Times New Roman" w:cs="Times New Roman"/>
          <w:szCs w:val="24"/>
          <w:lang w:val="en-US"/>
        </w:rPr>
      </w:pPr>
    </w:p>
    <w:p w14:paraId="14484976" w14:textId="2444813E" w:rsidR="00D84D0C" w:rsidRPr="00D84D0C" w:rsidRDefault="00D84D0C" w:rsidP="00D84D0C">
      <w:pPr>
        <w:rPr>
          <w:rFonts w:ascii="Times New Roman" w:eastAsia="Times New Roman" w:hAnsi="Times New Roman" w:cs="Times New Roman"/>
          <w:b/>
          <w:bCs/>
          <w:sz w:val="10"/>
          <w:szCs w:val="10"/>
          <w:lang w:val="en-US"/>
        </w:rPr>
      </w:pPr>
      <w:r w:rsidRPr="00D84D0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Keywords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br/>
      </w:r>
    </w:p>
    <w:p w14:paraId="7ACF2E20" w14:textId="3B07CE09" w:rsidR="00D84D0C" w:rsidRDefault="00D84D0C" w:rsidP="008158B2">
      <w:pPr>
        <w:rPr>
          <w:rFonts w:ascii="Times New Roman" w:eastAsia="Times New Roman" w:hAnsi="Times New Roman" w:cs="Times New Roman"/>
          <w:szCs w:val="24"/>
          <w:lang w:val="en-US"/>
        </w:rPr>
      </w:pPr>
      <w:r>
        <w:rPr>
          <w:rFonts w:ascii="Times New Roman" w:eastAsia="Times New Roman" w:hAnsi="Times New Roman" w:cs="Times New Roman"/>
          <w:szCs w:val="24"/>
          <w:lang w:val="en-US"/>
        </w:rPr>
        <w:t>P</w:t>
      </w:r>
      <w:r w:rsidRPr="00D84D0C">
        <w:rPr>
          <w:rFonts w:ascii="Times New Roman" w:eastAsia="Times New Roman" w:hAnsi="Times New Roman" w:cs="Times New Roman"/>
          <w:szCs w:val="24"/>
          <w:lang w:val="en-US"/>
        </w:rPr>
        <w:t xml:space="preserve">rice-to-Earnings (P/E) Ratio; Gordon-Shapiro Model; Gordon Growth Model (GGM); Potential Payback Period (PPP); </w:t>
      </w:r>
      <w:r w:rsidR="008158B2">
        <w:rPr>
          <w:rFonts w:ascii="Times New Roman" w:eastAsia="Times New Roman" w:hAnsi="Times New Roman" w:cs="Times New Roman"/>
          <w:szCs w:val="24"/>
          <w:lang w:val="en-US"/>
        </w:rPr>
        <w:t xml:space="preserve">Growing Discounted Earnings; </w:t>
      </w:r>
      <w:r w:rsidR="00595104">
        <w:rPr>
          <w:rFonts w:ascii="Times New Roman" w:eastAsia="Times New Roman" w:hAnsi="Times New Roman" w:cs="Times New Roman"/>
          <w:szCs w:val="24"/>
          <w:lang w:val="en-US"/>
        </w:rPr>
        <w:t xml:space="preserve">Dynamic </w:t>
      </w:r>
      <w:r w:rsidRPr="00D84D0C">
        <w:rPr>
          <w:rFonts w:ascii="Times New Roman" w:eastAsia="Times New Roman" w:hAnsi="Times New Roman" w:cs="Times New Roman"/>
          <w:szCs w:val="24"/>
          <w:lang w:val="en-US"/>
        </w:rPr>
        <w:t>Stock Valuation</w:t>
      </w:r>
    </w:p>
    <w:p w14:paraId="6578B697" w14:textId="6301A3A2" w:rsidR="008158B2" w:rsidRDefault="008158B2" w:rsidP="008158B2">
      <w:pPr>
        <w:rPr>
          <w:rFonts w:ascii="Times New Roman" w:eastAsia="Times New Roman" w:hAnsi="Times New Roman" w:cs="Times New Roman"/>
          <w:szCs w:val="24"/>
          <w:lang w:val="en-US"/>
        </w:rPr>
      </w:pPr>
    </w:p>
    <w:p w14:paraId="5F4354BD" w14:textId="459BC077" w:rsidR="00D84D0C" w:rsidRPr="007D25ED" w:rsidRDefault="009523C7" w:rsidP="007D25ED">
      <w:r>
        <w:rPr>
          <w:noProof/>
        </w:rPr>
        <w:pict w14:anchorId="7EE3586B">
          <v:rect id="_x0000_i1030" alt="" style="width:453.3pt;height:.05pt;mso-width-percent:0;mso-height-percent:0;mso-width-percent:0;mso-height-percent:0" o:hralign="center" o:hrstd="t" o:hr="t" fillcolor="#a0a0a0" stroked="f"/>
        </w:pict>
      </w:r>
      <w:r w:rsidR="007D25ED">
        <w:br/>
      </w:r>
    </w:p>
    <w:p w14:paraId="201F1140" w14:textId="77777777" w:rsidR="00B710DB" w:rsidRPr="00595104" w:rsidRDefault="00B710DB" w:rsidP="00B710DB">
      <w:pPr>
        <w:pStyle w:val="Heading2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95104">
        <w:rPr>
          <w:rStyle w:val="Strong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1. Introduction</w:t>
      </w:r>
    </w:p>
    <w:p w14:paraId="62E583B6" w14:textId="77777777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The Price-to-Earnings (P/E) ratio is among the most utilized metrics in fundamental equity analysis. Simple in form and intuitive in use, the P/E ratio estimates how many years of current earnings are required to recoup the price paid for a stock. However, its static nature—failing to account for earnings growth, discounting, or risk—makes it increasingly inadequate in dynamic financial environments.</w:t>
      </w:r>
    </w:p>
    <w:p w14:paraId="2201EFA8" w14:textId="1F3C5CAC" w:rsidR="00B710DB" w:rsidRPr="00595104" w:rsidRDefault="00B710DB" w:rsidP="00B710DB">
      <w:pPr>
        <w:pStyle w:val="Heading2"/>
        <w:rPr>
          <w:rFonts w:cs="Times New Roman"/>
          <w:color w:val="000000" w:themeColor="text1"/>
          <w:lang w:val="en-US"/>
        </w:rPr>
      </w:pPr>
      <w:r w:rsidRPr="00164A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This paper compares two methodologies that aim to transform the P/E ratio into a truly dynamic valuation tool: the classic </w:t>
      </w:r>
      <w:r w:rsidRPr="00164A1D">
        <w:rPr>
          <w:rStyle w:val="NormalWeb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Gordon-Shapiro model</w:t>
      </w:r>
      <w:r w:rsidRPr="00164A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(or Gordon Growth Model, GGM), and the more recent </w:t>
      </w:r>
      <w:r w:rsidRPr="00164A1D">
        <w:rPr>
          <w:rStyle w:val="NormalWeb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Potential Payback Period (PPP)</w:t>
      </w:r>
      <w:r w:rsidRPr="00164A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a forward-looking, time-based framework </w:t>
      </w:r>
      <w:r w:rsidRPr="00164A1D">
        <w:rPr>
          <w:rStyle w:val="NormalWeb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initiated by the author</w:t>
      </w:r>
      <w:r w:rsidRPr="00164A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Both models adjust the P/E by incorporating earnings growth and the time value of money, but only the PPP offers a unified, flexible, and mathematically continuous solution across a range of real-world scenarios.</w:t>
      </w:r>
      <w:r w:rsidR="00771F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</w:r>
      <w:r w:rsidR="00771F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  <w:t>__________________________________________________________________________</w:t>
      </w:r>
      <w:r w:rsidRPr="00595104">
        <w:rPr>
          <w:color w:val="000000" w:themeColor="text1"/>
          <w:lang w:val="en-US"/>
        </w:rPr>
        <w:br/>
      </w:r>
      <w:r w:rsidRPr="00595104">
        <w:rPr>
          <w:color w:val="000000" w:themeColor="text1"/>
          <w:lang w:val="en-US"/>
        </w:rPr>
        <w:br/>
      </w:r>
      <w:r w:rsidRPr="00595104">
        <w:rPr>
          <w:color w:val="000000" w:themeColor="text1"/>
          <w:lang w:val="en-US"/>
        </w:rPr>
        <w:br/>
      </w:r>
      <w:r w:rsidRPr="00595104">
        <w:rPr>
          <w:rStyle w:val="Strong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2. The Gordon-Shapiro Model: A First Step Toward a Dynamic P/E</w:t>
      </w:r>
    </w:p>
    <w:p w14:paraId="3F53B2AF" w14:textId="2CC15185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The Gordon Growth Model evaluates the price of a stock as the present value of an infinite stream of dividends growing at a constant rate:</w:t>
      </w:r>
    </w:p>
    <w:p w14:paraId="0F612AAB" w14:textId="1DAEA350" w:rsidR="00F81F34" w:rsidRPr="00595104" w:rsidRDefault="00F81F34" w:rsidP="00B710DB">
      <w:pPr>
        <w:pStyle w:val="NormalWeb"/>
        <w:rPr>
          <w:color w:val="000000" w:themeColor="text1"/>
          <w:lang w:val="en-US"/>
        </w:rPr>
      </w:pPr>
      <w:r w:rsidRPr="00595104">
        <w:rPr>
          <w:noProof/>
          <w:color w:val="000000" w:themeColor="text1"/>
          <w:lang w:val="en-US"/>
        </w:rPr>
        <w:lastRenderedPageBreak/>
        <w:drawing>
          <wp:inline distT="0" distB="0" distL="0" distR="0" wp14:anchorId="4FBBE896" wp14:editId="31E7999E">
            <wp:extent cx="1281659" cy="757344"/>
            <wp:effectExtent l="0" t="0" r="1270" b="508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 2025-07-07 at 21.58.4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937" cy="76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AEB26" w14:textId="77777777" w:rsidR="00B710DB" w:rsidRPr="00595104" w:rsidRDefault="00B710DB" w:rsidP="00B710DB">
      <w:pPr>
        <w:pStyle w:val="NormalWeb"/>
        <w:rPr>
          <w:color w:val="000000" w:themeColor="text1"/>
        </w:rPr>
      </w:pPr>
      <w:proofErr w:type="spellStart"/>
      <w:r w:rsidRPr="00595104">
        <w:rPr>
          <w:color w:val="000000" w:themeColor="text1"/>
        </w:rPr>
        <w:t>Where</w:t>
      </w:r>
      <w:proofErr w:type="spellEnd"/>
      <w:r w:rsidRPr="00595104">
        <w:rPr>
          <w:color w:val="000000" w:themeColor="text1"/>
        </w:rPr>
        <w:t>:</w:t>
      </w:r>
    </w:p>
    <w:p w14:paraId="5EEBDAE8" w14:textId="77777777" w:rsidR="00B710DB" w:rsidRPr="00595104" w:rsidRDefault="00B710DB" w:rsidP="00B710DB">
      <w:pPr>
        <w:pStyle w:val="NormalWeb"/>
        <w:numPr>
          <w:ilvl w:val="0"/>
          <w:numId w:val="6"/>
        </w:numPr>
        <w:rPr>
          <w:color w:val="000000" w:themeColor="text1"/>
        </w:rPr>
      </w:pPr>
      <w:r w:rsidRPr="00595104">
        <w:rPr>
          <w:rStyle w:val="katex-mathml"/>
          <w:color w:val="000000" w:themeColor="text1"/>
        </w:rPr>
        <w:t>PP</w:t>
      </w:r>
      <w:r w:rsidRPr="00595104">
        <w:rPr>
          <w:rStyle w:val="mord"/>
          <w:color w:val="000000" w:themeColor="text1"/>
        </w:rPr>
        <w:t>P</w:t>
      </w:r>
      <w:r w:rsidRPr="00595104">
        <w:rPr>
          <w:color w:val="000000" w:themeColor="text1"/>
        </w:rPr>
        <w:t>: Price of the stock</w:t>
      </w:r>
    </w:p>
    <w:p w14:paraId="1939E8C6" w14:textId="5B32FBAD" w:rsidR="00B710DB" w:rsidRPr="00595104" w:rsidRDefault="00B710DB" w:rsidP="00B710DB">
      <w:pPr>
        <w:pStyle w:val="NormalWeb"/>
        <w:numPr>
          <w:ilvl w:val="0"/>
          <w:numId w:val="6"/>
        </w:numPr>
        <w:rPr>
          <w:color w:val="000000" w:themeColor="text1"/>
          <w:lang w:val="en-US"/>
        </w:rPr>
      </w:pPr>
      <w:r w:rsidRPr="00595104">
        <w:rPr>
          <w:rStyle w:val="katex-mathml"/>
          <w:color w:val="000000" w:themeColor="text1"/>
          <w:lang w:val="en-US"/>
        </w:rPr>
        <w:t>D</w:t>
      </w:r>
      <w:r w:rsidR="00164A1D" w:rsidRPr="00164A1D">
        <w:rPr>
          <w:rStyle w:val="katex-mathml"/>
          <w:b/>
          <w:bCs/>
          <w:color w:val="000000" w:themeColor="text1"/>
          <w:sz w:val="28"/>
          <w:szCs w:val="28"/>
          <w:vertAlign w:val="subscript"/>
          <w:lang w:val="en-US"/>
        </w:rPr>
        <w:t>1</w:t>
      </w:r>
      <w:r w:rsidRPr="00164A1D">
        <w:rPr>
          <w:rStyle w:val="vlist-s"/>
          <w:color w:val="000000" w:themeColor="text1"/>
          <w:lang w:val="en-US"/>
        </w:rPr>
        <w:t>​</w:t>
      </w:r>
      <w:r w:rsidRPr="00164A1D">
        <w:rPr>
          <w:color w:val="000000" w:themeColor="text1"/>
          <w:lang w:val="en-US"/>
        </w:rPr>
        <w:t>:</w:t>
      </w:r>
      <w:r w:rsidRPr="00595104">
        <w:rPr>
          <w:color w:val="000000" w:themeColor="text1"/>
          <w:lang w:val="en-US"/>
        </w:rPr>
        <w:t xml:space="preserve"> Dividend expected next year</w:t>
      </w:r>
    </w:p>
    <w:p w14:paraId="5DA3BC62" w14:textId="3D3BD37E" w:rsidR="00B710DB" w:rsidRPr="00595104" w:rsidRDefault="00B710DB" w:rsidP="00B710DB">
      <w:pPr>
        <w:pStyle w:val="NormalWeb"/>
        <w:numPr>
          <w:ilvl w:val="0"/>
          <w:numId w:val="6"/>
        </w:numPr>
        <w:rPr>
          <w:color w:val="000000" w:themeColor="text1"/>
          <w:lang w:val="en-US"/>
        </w:rPr>
      </w:pPr>
      <w:r w:rsidRPr="00595104">
        <w:rPr>
          <w:rStyle w:val="katex-mathml"/>
          <w:color w:val="000000" w:themeColor="text1"/>
          <w:lang w:val="en-US"/>
        </w:rPr>
        <w:t>r</w:t>
      </w:r>
      <w:r w:rsidRPr="00595104">
        <w:rPr>
          <w:color w:val="000000" w:themeColor="text1"/>
          <w:lang w:val="en-US"/>
        </w:rPr>
        <w:t>: Discount rate (cost of equity)</w:t>
      </w:r>
    </w:p>
    <w:p w14:paraId="6D7EEE3D" w14:textId="58772B3E" w:rsidR="00B710DB" w:rsidRPr="00595104" w:rsidRDefault="00B710DB" w:rsidP="00B710DB">
      <w:pPr>
        <w:pStyle w:val="NormalWeb"/>
        <w:numPr>
          <w:ilvl w:val="0"/>
          <w:numId w:val="6"/>
        </w:numPr>
        <w:rPr>
          <w:color w:val="000000" w:themeColor="text1"/>
          <w:lang w:val="en-US"/>
        </w:rPr>
      </w:pPr>
      <w:r w:rsidRPr="00595104">
        <w:rPr>
          <w:rStyle w:val="katex-mathml"/>
          <w:color w:val="000000" w:themeColor="text1"/>
          <w:lang w:val="en-US"/>
        </w:rPr>
        <w:t>g</w:t>
      </w:r>
      <w:r w:rsidRPr="00595104">
        <w:rPr>
          <w:color w:val="000000" w:themeColor="text1"/>
          <w:lang w:val="en-US"/>
        </w:rPr>
        <w:t>: Constant growth rate of dividends</w:t>
      </w:r>
      <w:r w:rsidR="00164A1D">
        <w:rPr>
          <w:color w:val="000000" w:themeColor="text1"/>
          <w:lang w:val="en-US"/>
        </w:rPr>
        <w:t>.</w:t>
      </w:r>
    </w:p>
    <w:p w14:paraId="398696EB" w14:textId="2F7CD59D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Assuming full earnings payout (i.e., </w:t>
      </w:r>
      <w:r w:rsidRPr="00595104">
        <w:rPr>
          <w:rStyle w:val="katex-mathml"/>
          <w:color w:val="000000" w:themeColor="text1"/>
          <w:lang w:val="en-US"/>
        </w:rPr>
        <w:t>D</w:t>
      </w:r>
      <w:r w:rsidR="00164A1D" w:rsidRPr="00164A1D">
        <w:rPr>
          <w:rStyle w:val="katex-mathml"/>
          <w:b/>
          <w:bCs/>
          <w:color w:val="000000" w:themeColor="text1"/>
          <w:sz w:val="28"/>
          <w:szCs w:val="28"/>
          <w:vertAlign w:val="subscript"/>
          <w:lang w:val="en-US"/>
        </w:rPr>
        <w:t>1</w:t>
      </w:r>
      <w:r w:rsidR="00164A1D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=E</w:t>
      </w:r>
      <w:r w:rsidR="00164A1D" w:rsidRPr="00164A1D">
        <w:rPr>
          <w:rStyle w:val="katex-mathml"/>
          <w:b/>
          <w:bCs/>
          <w:color w:val="000000" w:themeColor="text1"/>
          <w:sz w:val="28"/>
          <w:szCs w:val="28"/>
          <w:vertAlign w:val="subscript"/>
          <w:lang w:val="en-US"/>
        </w:rPr>
        <w:t>1</w:t>
      </w:r>
      <w:r w:rsidRPr="00595104">
        <w:rPr>
          <w:rStyle w:val="vlist-s"/>
          <w:color w:val="000000" w:themeColor="text1"/>
          <w:lang w:val="en-US"/>
        </w:rPr>
        <w:t>​</w:t>
      </w:r>
      <w:r w:rsidRPr="00595104">
        <w:rPr>
          <w:color w:val="000000" w:themeColor="text1"/>
          <w:lang w:val="en-US"/>
        </w:rPr>
        <w:t xml:space="preserve">), and that earnings grow at rate </w:t>
      </w:r>
      <w:r w:rsidRPr="00595104">
        <w:rPr>
          <w:rStyle w:val="katex-mathml"/>
          <w:color w:val="000000" w:themeColor="text1"/>
          <w:lang w:val="en-US"/>
        </w:rPr>
        <w:t>g</w:t>
      </w:r>
      <w:r w:rsidRPr="00595104">
        <w:rPr>
          <w:color w:val="000000" w:themeColor="text1"/>
          <w:lang w:val="en-US"/>
        </w:rPr>
        <w:t xml:space="preserve"> such that </w:t>
      </w:r>
      <w:r w:rsidR="00164A1D">
        <w:rPr>
          <w:color w:val="000000" w:themeColor="text1"/>
          <w:lang w:val="en-US"/>
        </w:rPr>
        <w:br/>
      </w:r>
      <w:r w:rsidRPr="00595104">
        <w:rPr>
          <w:rStyle w:val="katex-mathml"/>
          <w:color w:val="000000" w:themeColor="text1"/>
          <w:lang w:val="en-US"/>
        </w:rPr>
        <w:t>E</w:t>
      </w:r>
      <w:r w:rsidR="00164A1D" w:rsidRPr="00164A1D">
        <w:rPr>
          <w:rStyle w:val="katex-mathml"/>
          <w:b/>
          <w:bCs/>
          <w:color w:val="000000" w:themeColor="text1"/>
          <w:sz w:val="28"/>
          <w:szCs w:val="28"/>
          <w:vertAlign w:val="subscript"/>
          <w:lang w:val="en-US"/>
        </w:rPr>
        <w:t>1</w:t>
      </w:r>
      <w:r w:rsidR="00164A1D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=</w:t>
      </w:r>
      <w:r w:rsidR="00164A1D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E</w:t>
      </w:r>
      <w:r w:rsidR="00164A1D" w:rsidRPr="00164A1D">
        <w:rPr>
          <w:rStyle w:val="katex-mathml"/>
          <w:b/>
          <w:bCs/>
          <w:color w:val="000000" w:themeColor="text1"/>
          <w:sz w:val="28"/>
          <w:szCs w:val="28"/>
          <w:vertAlign w:val="subscript"/>
          <w:lang w:val="en-US"/>
        </w:rPr>
        <w:t>0</w:t>
      </w:r>
      <w:r w:rsidR="00164A1D" w:rsidRPr="00595104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(1+g)</w:t>
      </w:r>
      <w:r w:rsidRPr="00595104">
        <w:rPr>
          <w:color w:val="000000" w:themeColor="text1"/>
          <w:lang w:val="en-US"/>
        </w:rPr>
        <w:t xml:space="preserve">, we obtain the </w:t>
      </w:r>
      <w:r w:rsidRPr="00595104">
        <w:rPr>
          <w:rStyle w:val="Strong"/>
          <w:color w:val="000000" w:themeColor="text1"/>
          <w:lang w:val="en-US"/>
        </w:rPr>
        <w:t>growth-adjusted P/E ratio</w:t>
      </w:r>
      <w:r w:rsidRPr="00595104">
        <w:rPr>
          <w:color w:val="000000" w:themeColor="text1"/>
          <w:lang w:val="en-US"/>
        </w:rPr>
        <w:t>:</w:t>
      </w:r>
    </w:p>
    <w:p w14:paraId="7B58797A" w14:textId="68080A5F" w:rsidR="00B710DB" w:rsidRPr="00595104" w:rsidRDefault="00F81F34" w:rsidP="00F81F34">
      <w:pPr>
        <w:pStyle w:val="NormalWeb"/>
        <w:rPr>
          <w:color w:val="000000" w:themeColor="text1"/>
          <w:lang w:val="en-US"/>
        </w:rPr>
      </w:pPr>
      <w:r w:rsidRPr="00595104">
        <w:rPr>
          <w:noProof/>
          <w:color w:val="000000" w:themeColor="text1"/>
          <w:lang w:val="en-US"/>
        </w:rPr>
        <w:drawing>
          <wp:inline distT="0" distB="0" distL="0" distR="0" wp14:anchorId="73E041DE" wp14:editId="0409EF43">
            <wp:extent cx="1334124" cy="685591"/>
            <wp:effectExtent l="0" t="0" r="0" b="63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 2025-07-07 at 22.05.4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955" cy="689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0DB" w:rsidRPr="00595104">
        <w:rPr>
          <w:rStyle w:val="vlist-s"/>
          <w:color w:val="000000" w:themeColor="text1"/>
          <w:lang w:val="en-US"/>
        </w:rPr>
        <w:t>​</w:t>
      </w:r>
      <w:r w:rsidR="00B710DB" w:rsidRPr="00595104">
        <w:rPr>
          <w:color w:val="000000" w:themeColor="text1"/>
          <w:lang w:val="en-US"/>
        </w:rPr>
        <w:t xml:space="preserve"> </w:t>
      </w:r>
    </w:p>
    <w:p w14:paraId="0C3941CC" w14:textId="77777777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This formulation introduces both growth and discounting, but it carries several limitations:</w:t>
      </w:r>
    </w:p>
    <w:p w14:paraId="0B9DE7FC" w14:textId="374697BB" w:rsidR="00B710DB" w:rsidRPr="00595104" w:rsidRDefault="00B710DB" w:rsidP="00B710DB">
      <w:pPr>
        <w:pStyle w:val="NormalWeb"/>
        <w:numPr>
          <w:ilvl w:val="0"/>
          <w:numId w:val="7"/>
        </w:numPr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It requires </w:t>
      </w:r>
      <w:r w:rsidRPr="009056B9">
        <w:rPr>
          <w:rStyle w:val="katex-mathml"/>
          <w:b/>
          <w:bCs/>
          <w:color w:val="000000" w:themeColor="text1"/>
          <w:lang w:val="en-US"/>
        </w:rPr>
        <w:t>g</w:t>
      </w:r>
      <w:r w:rsidR="009056B9" w:rsidRPr="009056B9">
        <w:rPr>
          <w:rStyle w:val="katex-mathml"/>
          <w:b/>
          <w:bCs/>
          <w:color w:val="000000" w:themeColor="text1"/>
          <w:lang w:val="en-US"/>
        </w:rPr>
        <w:t xml:space="preserve"> </w:t>
      </w:r>
      <w:r w:rsidRPr="009056B9">
        <w:rPr>
          <w:rStyle w:val="katex-mathml"/>
          <w:b/>
          <w:bCs/>
          <w:color w:val="000000" w:themeColor="text1"/>
          <w:lang w:val="en-US"/>
        </w:rPr>
        <w:t>&lt;</w:t>
      </w:r>
      <w:r w:rsidR="009056B9" w:rsidRPr="009056B9">
        <w:rPr>
          <w:rStyle w:val="katex-mathml"/>
          <w:b/>
          <w:bCs/>
          <w:color w:val="000000" w:themeColor="text1"/>
          <w:lang w:val="en-US"/>
        </w:rPr>
        <w:t xml:space="preserve"> </w:t>
      </w:r>
      <w:r w:rsidRPr="009056B9">
        <w:rPr>
          <w:rStyle w:val="katex-mathml"/>
          <w:b/>
          <w:bCs/>
          <w:color w:val="000000" w:themeColor="text1"/>
          <w:lang w:val="en-US"/>
        </w:rPr>
        <w:t>r</w:t>
      </w:r>
      <w:r w:rsidRPr="00595104">
        <w:rPr>
          <w:color w:val="000000" w:themeColor="text1"/>
          <w:lang w:val="en-US"/>
        </w:rPr>
        <w:t>, or the formula diverges.</w:t>
      </w:r>
    </w:p>
    <w:p w14:paraId="43D95CDA" w14:textId="77777777" w:rsidR="00B710DB" w:rsidRPr="00595104" w:rsidRDefault="00B710DB" w:rsidP="00B710DB">
      <w:pPr>
        <w:pStyle w:val="NormalWeb"/>
        <w:numPr>
          <w:ilvl w:val="0"/>
          <w:numId w:val="7"/>
        </w:numPr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It assumes </w:t>
      </w:r>
      <w:r w:rsidRPr="00595104">
        <w:rPr>
          <w:rStyle w:val="Strong"/>
          <w:color w:val="000000" w:themeColor="text1"/>
          <w:lang w:val="en-US"/>
        </w:rPr>
        <w:t>perpetual constant growth</w:t>
      </w:r>
      <w:r w:rsidRPr="00595104">
        <w:rPr>
          <w:color w:val="000000" w:themeColor="text1"/>
          <w:lang w:val="en-US"/>
        </w:rPr>
        <w:t>, which is rarely realistic.</w:t>
      </w:r>
    </w:p>
    <w:p w14:paraId="04CBFAC7" w14:textId="77777777" w:rsidR="00B710DB" w:rsidRPr="00595104" w:rsidRDefault="00B710DB" w:rsidP="00B710DB">
      <w:pPr>
        <w:pStyle w:val="NormalWeb"/>
        <w:numPr>
          <w:ilvl w:val="0"/>
          <w:numId w:val="7"/>
        </w:numPr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It lacks a </w:t>
      </w:r>
      <w:r w:rsidRPr="00595104">
        <w:rPr>
          <w:rStyle w:val="Strong"/>
          <w:color w:val="000000" w:themeColor="text1"/>
          <w:lang w:val="en-US"/>
        </w:rPr>
        <w:t>time-bound interpretation</w:t>
      </w:r>
      <w:r w:rsidRPr="00595104">
        <w:rPr>
          <w:color w:val="000000" w:themeColor="text1"/>
          <w:lang w:val="en-US"/>
        </w:rPr>
        <w:t xml:space="preserve"> (i.e., no payback horizon).</w:t>
      </w:r>
    </w:p>
    <w:p w14:paraId="43881908" w14:textId="08D30040" w:rsidR="00164A1D" w:rsidRPr="009056B9" w:rsidRDefault="00B710DB" w:rsidP="00164A1D">
      <w:pPr>
        <w:pStyle w:val="NormalWeb"/>
        <w:numPr>
          <w:ilvl w:val="0"/>
          <w:numId w:val="7"/>
        </w:numPr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It provides a valuation level, but not a recovery timeframe.</w:t>
      </w:r>
    </w:p>
    <w:p w14:paraId="2D6137BA" w14:textId="54D7A696" w:rsidR="00B710DB" w:rsidRPr="00595104" w:rsidRDefault="009523C7" w:rsidP="00B710DB">
      <w:pPr>
        <w:rPr>
          <w:color w:val="000000" w:themeColor="text1"/>
        </w:rPr>
      </w:pPr>
      <w:r w:rsidRPr="009523C7">
        <w:rPr>
          <w:noProof/>
          <w:color w:val="000000" w:themeColor="text1"/>
        </w:rPr>
        <w:pict w14:anchorId="08EBC7D0">
          <v:rect id="_x0000_i1029" alt="" style="width:453.3pt;height:.05pt;mso-width-percent:0;mso-height-percent:0;mso-width-percent:0;mso-height-percent:0" o:hralign="center" o:hrstd="t" o:hr="t" fillcolor="#a0a0a0" stroked="f"/>
        </w:pict>
      </w:r>
    </w:p>
    <w:p w14:paraId="701EB463" w14:textId="77777777" w:rsidR="00B710DB" w:rsidRPr="00595104" w:rsidRDefault="00B710DB" w:rsidP="00B710DB">
      <w:pPr>
        <w:rPr>
          <w:color w:val="000000" w:themeColor="text1"/>
        </w:rPr>
      </w:pPr>
    </w:p>
    <w:p w14:paraId="05A3B324" w14:textId="77777777" w:rsidR="00B710DB" w:rsidRPr="00595104" w:rsidRDefault="00B710DB" w:rsidP="00B710DB">
      <w:pPr>
        <w:pStyle w:val="Heading2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95104">
        <w:rPr>
          <w:rStyle w:val="Strong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3. The Potential Payback Period (PPP): A More Flexible Dynamic Framework</w:t>
      </w:r>
    </w:p>
    <w:p w14:paraId="741C1403" w14:textId="6C553D21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The Potential Payback Period (PPP) offers an alternative framework that answers a practical question:</w:t>
      </w:r>
      <w:r w:rsidR="00BC76BD" w:rsidRPr="00595104">
        <w:rPr>
          <w:color w:val="000000" w:themeColor="text1"/>
          <w:lang w:val="en-US"/>
        </w:rPr>
        <w:t xml:space="preserve"> </w:t>
      </w:r>
      <w:r w:rsidRPr="00595104">
        <w:rPr>
          <w:rStyle w:val="Strong"/>
          <w:color w:val="000000" w:themeColor="text1"/>
          <w:lang w:val="en-US"/>
        </w:rPr>
        <w:t>“How many years of discounted earnings are required to recover the price paid for a stock?”</w:t>
      </w:r>
    </w:p>
    <w:p w14:paraId="7438B02C" w14:textId="77777777" w:rsidR="00B710DB" w:rsidRPr="00595104" w:rsidRDefault="00B710DB" w:rsidP="00B710DB">
      <w:pPr>
        <w:pStyle w:val="Heading3"/>
        <w:rPr>
          <w:color w:val="000000" w:themeColor="text1"/>
          <w:sz w:val="24"/>
          <w:szCs w:val="24"/>
          <w:lang w:val="en-US"/>
        </w:rPr>
      </w:pPr>
      <w:r w:rsidRPr="00595104">
        <w:rPr>
          <w:color w:val="000000" w:themeColor="text1"/>
          <w:sz w:val="24"/>
          <w:szCs w:val="24"/>
          <w:lang w:val="en-US"/>
        </w:rPr>
        <w:t>3.1. Conceptual Foundation</w:t>
      </w:r>
    </w:p>
    <w:p w14:paraId="0F2BD7E7" w14:textId="543DF2E9" w:rsidR="00ED7FB0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Assuming full earnings distribution and geometric growth, future earnings are modeled as:</w:t>
      </w:r>
      <w:r w:rsidR="00ED7FB0" w:rsidRPr="00595104">
        <w:rPr>
          <w:color w:val="000000" w:themeColor="text1"/>
          <w:lang w:val="en-US"/>
        </w:rPr>
        <w:br/>
      </w:r>
      <w:r w:rsidR="00ED7FB0" w:rsidRPr="00595104">
        <w:rPr>
          <w:color w:val="000000" w:themeColor="text1"/>
          <w:lang w:val="en-US"/>
        </w:rPr>
        <w:br/>
      </w:r>
      <w:r w:rsidR="00ED7FB0" w:rsidRPr="00595104">
        <w:rPr>
          <w:noProof/>
          <w:color w:val="000000" w:themeColor="text1"/>
          <w:lang w:val="en-US"/>
        </w:rPr>
        <w:drawing>
          <wp:inline distT="0" distB="0" distL="0" distR="0" wp14:anchorId="2AFFC7B1" wp14:editId="319CAA64">
            <wp:extent cx="1623834" cy="459930"/>
            <wp:effectExtent l="0" t="0" r="190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shot 2025-07-07 at 22.55.3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145" cy="47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1F4D">
        <w:rPr>
          <w:color w:val="000000" w:themeColor="text1"/>
          <w:lang w:val="en-US"/>
        </w:rPr>
        <w:br/>
      </w:r>
      <w:r w:rsidRPr="00595104">
        <w:rPr>
          <w:color w:val="000000" w:themeColor="text1"/>
          <w:lang w:val="en-US"/>
        </w:rPr>
        <w:t xml:space="preserve">Discounting these at rate </w:t>
      </w:r>
      <w:r w:rsidRPr="00595104">
        <w:rPr>
          <w:rStyle w:val="katex-mathml"/>
          <w:color w:val="000000" w:themeColor="text1"/>
          <w:lang w:val="en-US"/>
        </w:rPr>
        <w:t>r</w:t>
      </w:r>
      <w:r w:rsidRPr="00595104">
        <w:rPr>
          <w:color w:val="000000" w:themeColor="text1"/>
          <w:lang w:val="en-US"/>
        </w:rPr>
        <w:t xml:space="preserve">, the present value of earnings over </w:t>
      </w:r>
      <w:r w:rsidRPr="00595104">
        <w:rPr>
          <w:rStyle w:val="katex-mathml"/>
          <w:color w:val="000000" w:themeColor="text1"/>
          <w:lang w:val="en-US"/>
        </w:rPr>
        <w:t>N</w:t>
      </w:r>
      <w:r w:rsidRPr="00595104">
        <w:rPr>
          <w:color w:val="000000" w:themeColor="text1"/>
          <w:lang w:val="en-US"/>
        </w:rPr>
        <w:t xml:space="preserve"> years becomes:</w:t>
      </w:r>
      <w:r w:rsidR="00771F4D">
        <w:rPr>
          <w:color w:val="000000" w:themeColor="text1"/>
          <w:lang w:val="en-US"/>
        </w:rPr>
        <w:br/>
      </w:r>
      <w:r w:rsidR="00F81F34" w:rsidRPr="00595104">
        <w:rPr>
          <w:color w:val="000000" w:themeColor="text1"/>
          <w:lang w:val="en-US"/>
        </w:rPr>
        <w:br/>
      </w:r>
      <w:r w:rsidR="00F81F34" w:rsidRPr="00595104">
        <w:rPr>
          <w:noProof/>
          <w:color w:val="000000" w:themeColor="text1"/>
          <w:lang w:val="en-US"/>
        </w:rPr>
        <w:drawing>
          <wp:inline distT="0" distB="0" distL="0" distR="0" wp14:anchorId="2C66BCB1" wp14:editId="095C7720">
            <wp:extent cx="4377128" cy="839304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Screenshot 2025-07-08 at 00.33.3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112" cy="89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0B7D1" w14:textId="075A4EDB" w:rsidR="00BC76BD" w:rsidRPr="00595104" w:rsidRDefault="00BC76BD" w:rsidP="00B710DB">
      <w:pPr>
        <w:pStyle w:val="NormalWeb"/>
        <w:rPr>
          <w:color w:val="000000" w:themeColor="text1"/>
          <w:lang w:val="en-US"/>
        </w:rPr>
      </w:pPr>
      <w:r w:rsidRPr="00595104">
        <w:rPr>
          <w:noProof/>
          <w:color w:val="000000" w:themeColor="text1"/>
          <w:lang w:val="en-US"/>
        </w:rPr>
        <w:lastRenderedPageBreak/>
        <w:drawing>
          <wp:inline distT="0" distB="0" distL="0" distR="0" wp14:anchorId="0B8BFEA4" wp14:editId="0B6FC018">
            <wp:extent cx="3695075" cy="31869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Screenshot 2025-07-08 at 00.34.1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0146" cy="33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553BD" w14:textId="7DB64B1F" w:rsidR="00ED7FB0" w:rsidRPr="00595104" w:rsidRDefault="00ED7FB0" w:rsidP="00EC08DE">
      <w:pPr>
        <w:pStyle w:val="NormalWeb"/>
        <w:rPr>
          <w:rStyle w:val="katex-mathml"/>
          <w:color w:val="000000" w:themeColor="text1"/>
          <w:lang w:val="en-US"/>
        </w:rPr>
      </w:pPr>
      <w:r w:rsidRPr="00595104">
        <w:rPr>
          <w:noProof/>
          <w:color w:val="000000" w:themeColor="text1"/>
          <w:lang w:val="en-US"/>
        </w:rPr>
        <w:drawing>
          <wp:inline distT="0" distB="0" distL="0" distR="0" wp14:anchorId="6651A5AC" wp14:editId="654DA075">
            <wp:extent cx="2290273" cy="75400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 2025-07-07 at 22.46.3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007" cy="762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30DFB" w14:textId="711D419A" w:rsidR="00BC76BD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Setting this equal to the stock price </w:t>
      </w:r>
      <w:r w:rsidRPr="00595104">
        <w:rPr>
          <w:rStyle w:val="katex-mathml"/>
          <w:color w:val="000000" w:themeColor="text1"/>
          <w:lang w:val="en-US"/>
        </w:rPr>
        <w:t>P</w:t>
      </w:r>
      <w:r w:rsidRPr="00595104">
        <w:rPr>
          <w:color w:val="000000" w:themeColor="text1"/>
          <w:lang w:val="en-US"/>
        </w:rPr>
        <w:t xml:space="preserve">, one solves for </w:t>
      </w:r>
      <w:r w:rsidR="00F81F34" w:rsidRPr="00595104">
        <w:rPr>
          <w:rStyle w:val="katex-mathml"/>
          <w:color w:val="000000" w:themeColor="text1"/>
          <w:lang w:val="en-US"/>
        </w:rPr>
        <w:t>N</w:t>
      </w:r>
      <w:r w:rsidRPr="00595104">
        <w:rPr>
          <w:color w:val="000000" w:themeColor="text1"/>
          <w:lang w:val="en-US"/>
        </w:rPr>
        <w:t xml:space="preserve">, the </w:t>
      </w:r>
      <w:r w:rsidRPr="00595104">
        <w:rPr>
          <w:rStyle w:val="Strong"/>
          <w:color w:val="000000" w:themeColor="text1"/>
          <w:lang w:val="en-US"/>
        </w:rPr>
        <w:t>potential payback period</w:t>
      </w:r>
      <w:r w:rsidRPr="00595104">
        <w:rPr>
          <w:color w:val="000000" w:themeColor="text1"/>
          <w:lang w:val="en-US"/>
        </w:rPr>
        <w:t xml:space="preserve">. Since an explicit algebraic solution for </w:t>
      </w:r>
      <w:r w:rsidRPr="00595104">
        <w:rPr>
          <w:rStyle w:val="katex-mathml"/>
          <w:color w:val="000000" w:themeColor="text1"/>
          <w:lang w:val="en-US"/>
        </w:rPr>
        <w:t>N</w:t>
      </w:r>
      <w:r w:rsidRPr="00595104">
        <w:rPr>
          <w:color w:val="000000" w:themeColor="text1"/>
          <w:lang w:val="en-US"/>
        </w:rPr>
        <w:t xml:space="preserve"> is difficult, the model simplifies the relationship using logarithmic transformations, yielding:</w:t>
      </w:r>
      <w:r w:rsidR="00ED7FB0" w:rsidRPr="00595104">
        <w:rPr>
          <w:color w:val="000000" w:themeColor="text1"/>
          <w:lang w:val="en-US"/>
        </w:rPr>
        <w:br/>
      </w:r>
      <w:r w:rsidR="00ED7FB0" w:rsidRPr="00595104">
        <w:rPr>
          <w:color w:val="000000" w:themeColor="text1"/>
          <w:lang w:val="en-US"/>
        </w:rPr>
        <w:br/>
      </w:r>
      <w:r w:rsidR="00ED7FB0" w:rsidRPr="00595104">
        <w:rPr>
          <w:noProof/>
          <w:color w:val="000000" w:themeColor="text1"/>
          <w:lang w:val="en-US"/>
        </w:rPr>
        <w:drawing>
          <wp:inline distT="0" distB="0" distL="0" distR="0" wp14:anchorId="0B856643" wp14:editId="14464F17">
            <wp:extent cx="3050498" cy="986926"/>
            <wp:effectExtent l="0" t="0" r="0" b="381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shot 2025-07-07 at 22.51.2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3815" cy="9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1E7E0" w14:textId="77777777" w:rsidR="00B710DB" w:rsidRPr="00595104" w:rsidRDefault="00B710DB" w:rsidP="00B710DB">
      <w:pPr>
        <w:pStyle w:val="NormalWeb"/>
        <w:rPr>
          <w:color w:val="000000" w:themeColor="text1"/>
        </w:rPr>
      </w:pPr>
      <w:proofErr w:type="spellStart"/>
      <w:r w:rsidRPr="00595104">
        <w:rPr>
          <w:color w:val="000000" w:themeColor="text1"/>
        </w:rPr>
        <w:t>Where</w:t>
      </w:r>
      <w:proofErr w:type="spellEnd"/>
      <w:r w:rsidRPr="00595104">
        <w:rPr>
          <w:color w:val="000000" w:themeColor="text1"/>
        </w:rPr>
        <w:t>:</w:t>
      </w:r>
    </w:p>
    <w:p w14:paraId="38493B77" w14:textId="26713E47" w:rsidR="00B710DB" w:rsidRPr="00595104" w:rsidRDefault="00B710DB" w:rsidP="00B710DB">
      <w:pPr>
        <w:pStyle w:val="NormalWeb"/>
        <w:numPr>
          <w:ilvl w:val="0"/>
          <w:numId w:val="8"/>
        </w:numPr>
        <w:rPr>
          <w:color w:val="000000" w:themeColor="text1"/>
          <w:lang w:val="en-US"/>
        </w:rPr>
      </w:pPr>
      <w:r w:rsidRPr="00595104">
        <w:rPr>
          <w:rStyle w:val="katex-mathml"/>
          <w:color w:val="000000" w:themeColor="text1"/>
          <w:lang w:val="en-US"/>
        </w:rPr>
        <w:t>P/E</w:t>
      </w:r>
      <w:r w:rsidRPr="00595104">
        <w:rPr>
          <w:color w:val="000000" w:themeColor="text1"/>
          <w:lang w:val="en-US"/>
        </w:rPr>
        <w:t>: Current Price-to-Earnings ratio</w:t>
      </w:r>
    </w:p>
    <w:p w14:paraId="6C7B1BD2" w14:textId="781C8FDA" w:rsidR="00B710DB" w:rsidRPr="00595104" w:rsidRDefault="00B710DB" w:rsidP="00B710DB">
      <w:pPr>
        <w:pStyle w:val="NormalWeb"/>
        <w:numPr>
          <w:ilvl w:val="0"/>
          <w:numId w:val="8"/>
        </w:numPr>
        <w:rPr>
          <w:color w:val="000000" w:themeColor="text1"/>
        </w:rPr>
      </w:pPr>
      <w:r w:rsidRPr="00595104">
        <w:rPr>
          <w:rStyle w:val="katex-mathml"/>
          <w:color w:val="000000" w:themeColor="text1"/>
        </w:rPr>
        <w:t>g</w:t>
      </w:r>
      <w:r w:rsidRPr="00595104">
        <w:rPr>
          <w:color w:val="000000" w:themeColor="text1"/>
        </w:rPr>
        <w:t xml:space="preserve">: </w:t>
      </w:r>
      <w:proofErr w:type="spellStart"/>
      <w:r w:rsidRPr="00595104">
        <w:rPr>
          <w:color w:val="000000" w:themeColor="text1"/>
        </w:rPr>
        <w:t>Earnings</w:t>
      </w:r>
      <w:proofErr w:type="spellEnd"/>
      <w:r w:rsidRPr="00595104">
        <w:rPr>
          <w:color w:val="000000" w:themeColor="text1"/>
        </w:rPr>
        <w:t xml:space="preserve"> </w:t>
      </w:r>
      <w:proofErr w:type="spellStart"/>
      <w:r w:rsidRPr="00595104">
        <w:rPr>
          <w:color w:val="000000" w:themeColor="text1"/>
        </w:rPr>
        <w:t>growth</w:t>
      </w:r>
      <w:proofErr w:type="spellEnd"/>
      <w:r w:rsidRPr="00595104">
        <w:rPr>
          <w:color w:val="000000" w:themeColor="text1"/>
        </w:rPr>
        <w:t xml:space="preserve"> rate</w:t>
      </w:r>
    </w:p>
    <w:p w14:paraId="49E72E17" w14:textId="1E604CC4" w:rsidR="00B710DB" w:rsidRPr="009056B9" w:rsidRDefault="00B710DB" w:rsidP="00B710DB">
      <w:pPr>
        <w:pStyle w:val="NormalWeb"/>
        <w:numPr>
          <w:ilvl w:val="0"/>
          <w:numId w:val="8"/>
        </w:numPr>
        <w:rPr>
          <w:color w:val="000000" w:themeColor="text1"/>
          <w:sz w:val="10"/>
          <w:szCs w:val="10"/>
          <w:lang w:val="en-US"/>
        </w:rPr>
      </w:pPr>
      <w:r w:rsidRPr="00595104">
        <w:rPr>
          <w:rStyle w:val="katex-mathml"/>
          <w:color w:val="000000" w:themeColor="text1"/>
          <w:lang w:val="en-US"/>
        </w:rPr>
        <w:t>r</w:t>
      </w:r>
      <w:r w:rsidRPr="00595104">
        <w:rPr>
          <w:color w:val="000000" w:themeColor="text1"/>
          <w:lang w:val="en-US"/>
        </w:rPr>
        <w:t>: Discount rate (risk-adjusted via CAPM)</w:t>
      </w:r>
      <w:r w:rsidR="00771F4D">
        <w:rPr>
          <w:color w:val="000000" w:themeColor="text1"/>
          <w:lang w:val="en-US"/>
        </w:rPr>
        <w:br/>
      </w:r>
      <w:r w:rsidR="009056B9">
        <w:rPr>
          <w:color w:val="000000" w:themeColor="text1"/>
          <w:lang w:val="en-US"/>
        </w:rPr>
        <w:br/>
      </w:r>
    </w:p>
    <w:p w14:paraId="6719D922" w14:textId="1F3B475E" w:rsidR="004F007F" w:rsidRPr="00595104" w:rsidRDefault="00B710DB" w:rsidP="00B710DB">
      <w:pPr>
        <w:pStyle w:val="Heading3"/>
        <w:rPr>
          <w:color w:val="000000" w:themeColor="text1"/>
          <w:sz w:val="24"/>
          <w:szCs w:val="24"/>
        </w:rPr>
      </w:pPr>
      <w:r w:rsidRPr="00595104">
        <w:rPr>
          <w:color w:val="000000" w:themeColor="text1"/>
          <w:sz w:val="24"/>
          <w:szCs w:val="24"/>
        </w:rPr>
        <w:t xml:space="preserve">3.2. </w:t>
      </w:r>
      <w:proofErr w:type="spellStart"/>
      <w:r w:rsidRPr="00595104">
        <w:rPr>
          <w:color w:val="000000" w:themeColor="text1"/>
          <w:sz w:val="24"/>
          <w:szCs w:val="24"/>
        </w:rPr>
        <w:t>Advantages</w:t>
      </w:r>
      <w:proofErr w:type="spellEnd"/>
      <w:r w:rsidRPr="00595104">
        <w:rPr>
          <w:color w:val="000000" w:themeColor="text1"/>
          <w:sz w:val="24"/>
          <w:szCs w:val="24"/>
        </w:rPr>
        <w:t xml:space="preserve"> of the PPP</w:t>
      </w:r>
      <w:bookmarkStart w:id="0" w:name="_GoBack"/>
      <w:bookmarkEnd w:id="0"/>
      <w:r w:rsidR="004F007F" w:rsidRPr="00595104">
        <w:rPr>
          <w:color w:val="000000" w:themeColor="text1"/>
          <w:sz w:val="24"/>
          <w:szCs w:val="24"/>
        </w:rPr>
        <w:br/>
      </w:r>
      <w:r w:rsidR="004F007F" w:rsidRPr="009056B9">
        <w:rPr>
          <w:color w:val="000000" w:themeColor="text1"/>
          <w:sz w:val="16"/>
          <w:szCs w:val="16"/>
        </w:rPr>
        <w:br/>
      </w:r>
      <w:r w:rsidR="00A711B6" w:rsidRPr="00595104">
        <w:rPr>
          <w:noProof/>
          <w:color w:val="000000" w:themeColor="text1"/>
          <w:sz w:val="24"/>
          <w:szCs w:val="24"/>
        </w:rPr>
        <w:drawing>
          <wp:inline distT="0" distB="0" distL="0" distR="0" wp14:anchorId="00EB16FE" wp14:editId="3CE1D519">
            <wp:extent cx="5951095" cy="3104862"/>
            <wp:effectExtent l="0" t="0" r="571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Screenshot 2025-07-08 at 01.34.4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3884" cy="3121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A0579" w14:textId="77777777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The PPP thus provides a time-based, forward-looking metric that reflects both </w:t>
      </w:r>
      <w:r w:rsidRPr="00595104">
        <w:rPr>
          <w:rStyle w:val="Strong"/>
          <w:color w:val="000000" w:themeColor="text1"/>
          <w:lang w:val="en-US"/>
        </w:rPr>
        <w:t>earning power</w:t>
      </w:r>
      <w:r w:rsidRPr="00595104">
        <w:rPr>
          <w:color w:val="000000" w:themeColor="text1"/>
          <w:lang w:val="en-US"/>
        </w:rPr>
        <w:t xml:space="preserve"> and </w:t>
      </w:r>
      <w:r w:rsidRPr="00595104">
        <w:rPr>
          <w:rStyle w:val="Strong"/>
          <w:color w:val="000000" w:themeColor="text1"/>
          <w:lang w:val="en-US"/>
        </w:rPr>
        <w:t>valuation risk</w:t>
      </w:r>
      <w:r w:rsidRPr="00595104">
        <w:rPr>
          <w:color w:val="000000" w:themeColor="text1"/>
          <w:lang w:val="en-US"/>
        </w:rPr>
        <w:t>, making it suitable for modern investment analysis.</w:t>
      </w:r>
    </w:p>
    <w:p w14:paraId="50DDFB6B" w14:textId="6F6DC8D4" w:rsidR="00B710DB" w:rsidRPr="00595104" w:rsidRDefault="009523C7" w:rsidP="00B710DB">
      <w:pPr>
        <w:rPr>
          <w:color w:val="000000" w:themeColor="text1"/>
        </w:rPr>
      </w:pPr>
      <w:r w:rsidRPr="009523C7">
        <w:rPr>
          <w:noProof/>
          <w:color w:val="000000" w:themeColor="text1"/>
        </w:rPr>
        <w:pict w14:anchorId="585D234B">
          <v:rect id="_x0000_i1028" alt="" style="width:453.3pt;height:.05pt;mso-width-percent:0;mso-height-percent:0;mso-width-percent:0;mso-height-percent:0" o:hralign="center" o:hrstd="t" o:hr="t" fillcolor="#a0a0a0" stroked="f"/>
        </w:pict>
      </w:r>
    </w:p>
    <w:p w14:paraId="66F21F81" w14:textId="77777777" w:rsidR="00B710DB" w:rsidRPr="00595104" w:rsidRDefault="00B710DB" w:rsidP="00B710DB">
      <w:pPr>
        <w:pStyle w:val="Heading2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95104">
        <w:rPr>
          <w:rStyle w:val="Strong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4. Mathematical Continuity: Convergence to the P/E Ratio</w:t>
      </w:r>
    </w:p>
    <w:p w14:paraId="353C3032" w14:textId="7426B54C" w:rsidR="00F81F34" w:rsidRPr="00595104" w:rsidRDefault="00B710DB" w:rsidP="00F81F34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A critical strength of the PPP is that it </w:t>
      </w:r>
      <w:r w:rsidRPr="00595104">
        <w:rPr>
          <w:rStyle w:val="Strong"/>
          <w:color w:val="000000" w:themeColor="text1"/>
          <w:lang w:val="en-US"/>
        </w:rPr>
        <w:t>reduces to the P/E ratio under</w:t>
      </w:r>
      <w:r w:rsidR="009056B9">
        <w:rPr>
          <w:rStyle w:val="Strong"/>
          <w:color w:val="000000" w:themeColor="text1"/>
          <w:lang w:val="en-US"/>
        </w:rPr>
        <w:t xml:space="preserve"> </w:t>
      </w:r>
      <w:r w:rsidRPr="00595104">
        <w:rPr>
          <w:rStyle w:val="Strong"/>
          <w:color w:val="000000" w:themeColor="text1"/>
          <w:lang w:val="en-US"/>
        </w:rPr>
        <w:t>static conditions</w:t>
      </w:r>
      <w:r w:rsidRPr="00595104">
        <w:rPr>
          <w:color w:val="000000" w:themeColor="text1"/>
          <w:lang w:val="en-US"/>
        </w:rPr>
        <w:t xml:space="preserve">, confirming its role as a generalization. When growth </w:t>
      </w:r>
      <w:r w:rsidRPr="00595104">
        <w:rPr>
          <w:rStyle w:val="katex-mathml"/>
          <w:color w:val="000000" w:themeColor="text1"/>
          <w:lang w:val="en-US"/>
        </w:rPr>
        <w:t>g</w:t>
      </w:r>
      <w:r w:rsidR="004D3CAE" w:rsidRPr="00595104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=</w:t>
      </w:r>
      <w:r w:rsidR="004D3CAE" w:rsidRPr="00595104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0</w:t>
      </w:r>
      <w:r w:rsidRPr="00595104">
        <w:rPr>
          <w:color w:val="000000" w:themeColor="text1"/>
          <w:lang w:val="en-US"/>
        </w:rPr>
        <w:t xml:space="preserve"> and discount rate </w:t>
      </w:r>
      <w:r w:rsidRPr="00595104">
        <w:rPr>
          <w:rStyle w:val="katex-mathml"/>
          <w:color w:val="000000" w:themeColor="text1"/>
          <w:lang w:val="en-US"/>
        </w:rPr>
        <w:t>r</w:t>
      </w:r>
      <w:r w:rsidR="004D3CAE" w:rsidRPr="00595104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=</w:t>
      </w:r>
      <w:r w:rsidR="004D3CAE" w:rsidRPr="00595104">
        <w:rPr>
          <w:rStyle w:val="katex-mathml"/>
          <w:color w:val="000000" w:themeColor="text1"/>
          <w:lang w:val="en-US"/>
        </w:rPr>
        <w:t xml:space="preserve"> </w:t>
      </w:r>
      <w:r w:rsidRPr="00595104">
        <w:rPr>
          <w:rStyle w:val="katex-mathml"/>
          <w:color w:val="000000" w:themeColor="text1"/>
          <w:lang w:val="en-US"/>
        </w:rPr>
        <w:t>0</w:t>
      </w:r>
      <w:r w:rsidRPr="00595104">
        <w:rPr>
          <w:color w:val="000000" w:themeColor="text1"/>
          <w:lang w:val="en-US"/>
        </w:rPr>
        <w:t>, the formula simplifies as follows:</w:t>
      </w:r>
      <w:r w:rsidR="00F81F34" w:rsidRPr="00595104">
        <w:rPr>
          <w:color w:val="000000" w:themeColor="text1"/>
          <w:lang w:val="en-US"/>
        </w:rPr>
        <w:br/>
      </w:r>
      <w:r w:rsidR="00F81F34" w:rsidRPr="00595104">
        <w:rPr>
          <w:color w:val="000000" w:themeColor="text1"/>
          <w:lang w:val="en-US"/>
        </w:rPr>
        <w:br/>
      </w:r>
      <w:r w:rsidR="00F81F34" w:rsidRPr="00595104">
        <w:rPr>
          <w:noProof/>
          <w:color w:val="000000" w:themeColor="text1"/>
          <w:lang w:val="en-US"/>
        </w:rPr>
        <w:drawing>
          <wp:inline distT="0" distB="0" distL="0" distR="0" wp14:anchorId="53D9AE74" wp14:editId="4895BCCB">
            <wp:extent cx="2994660" cy="598932"/>
            <wp:effectExtent l="0" t="0" r="254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creenshot 2025-07-08 at 00.30.36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048" cy="60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3B3B6" w14:textId="77777777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This convergence can be rigorously shown using </w:t>
      </w:r>
      <w:proofErr w:type="spellStart"/>
      <w:r w:rsidRPr="00595104">
        <w:rPr>
          <w:color w:val="000000" w:themeColor="text1"/>
          <w:lang w:val="en-US"/>
        </w:rPr>
        <w:t>L’Hôpital’s</w:t>
      </w:r>
      <w:proofErr w:type="spellEnd"/>
      <w:r w:rsidRPr="00595104">
        <w:rPr>
          <w:color w:val="000000" w:themeColor="text1"/>
          <w:lang w:val="en-US"/>
        </w:rPr>
        <w:t xml:space="preserve"> Rule and demonstrates that the PPP includes the static P/E ratio as a limiting case. It confirms that:</w:t>
      </w:r>
    </w:p>
    <w:p w14:paraId="3B522250" w14:textId="77777777" w:rsidR="00B710DB" w:rsidRPr="00595104" w:rsidRDefault="00B710DB" w:rsidP="00B710DB">
      <w:pPr>
        <w:pStyle w:val="NormalWeb"/>
        <w:numPr>
          <w:ilvl w:val="0"/>
          <w:numId w:val="9"/>
        </w:numPr>
        <w:rPr>
          <w:color w:val="000000" w:themeColor="text1"/>
          <w:lang w:val="en-US"/>
        </w:rPr>
      </w:pPr>
      <w:r w:rsidRPr="00595104">
        <w:rPr>
          <w:rStyle w:val="Strong"/>
          <w:color w:val="000000" w:themeColor="text1"/>
          <w:lang w:val="en-US"/>
        </w:rPr>
        <w:t>P/E is a special case of the PPP</w:t>
      </w:r>
      <w:r w:rsidRPr="00595104">
        <w:rPr>
          <w:color w:val="000000" w:themeColor="text1"/>
          <w:lang w:val="en-US"/>
        </w:rPr>
        <w:t xml:space="preserve"> in a world with no growth and no discounting.</w:t>
      </w:r>
    </w:p>
    <w:p w14:paraId="58FB1EB1" w14:textId="77777777" w:rsidR="00B710DB" w:rsidRPr="00595104" w:rsidRDefault="00B710DB" w:rsidP="00B710DB">
      <w:pPr>
        <w:pStyle w:val="NormalWeb"/>
        <w:numPr>
          <w:ilvl w:val="0"/>
          <w:numId w:val="9"/>
        </w:numPr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The PPP is not an alternative to the P/E — it </w:t>
      </w:r>
      <w:r w:rsidRPr="00595104">
        <w:rPr>
          <w:rStyle w:val="Strong"/>
          <w:color w:val="000000" w:themeColor="text1"/>
          <w:lang w:val="en-US"/>
        </w:rPr>
        <w:t>subsumes</w:t>
      </w:r>
      <w:r w:rsidRPr="00595104">
        <w:rPr>
          <w:color w:val="000000" w:themeColor="text1"/>
          <w:lang w:val="en-US"/>
        </w:rPr>
        <w:t xml:space="preserve"> it.</w:t>
      </w:r>
    </w:p>
    <w:p w14:paraId="34D55F04" w14:textId="77777777" w:rsidR="00B710DB" w:rsidRPr="00595104" w:rsidRDefault="00B710DB" w:rsidP="00B710DB">
      <w:pPr>
        <w:pStyle w:val="NormalWeb"/>
        <w:numPr>
          <w:ilvl w:val="0"/>
          <w:numId w:val="9"/>
        </w:numPr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The PPP retains consistency with traditional valuation metrics while expanding their scope.</w:t>
      </w:r>
    </w:p>
    <w:p w14:paraId="78AAF9D0" w14:textId="3107C053" w:rsidR="00B710DB" w:rsidRPr="00595104" w:rsidRDefault="009523C7" w:rsidP="00B710DB">
      <w:pPr>
        <w:rPr>
          <w:color w:val="000000" w:themeColor="text1"/>
        </w:rPr>
      </w:pPr>
      <w:r w:rsidRPr="009523C7">
        <w:rPr>
          <w:noProof/>
          <w:color w:val="000000" w:themeColor="text1"/>
        </w:rPr>
        <w:pict w14:anchorId="081FDEF3">
          <v:rect id="_x0000_i1027" alt="" style="width:453.3pt;height:.05pt;mso-width-percent:0;mso-height-percent:0;mso-width-percent:0;mso-height-percent:0" o:hralign="center" o:hrstd="t" o:hr="t" fillcolor="#a0a0a0" stroked="f"/>
        </w:pict>
      </w:r>
      <w:r w:rsidR="00B710DB" w:rsidRPr="00595104">
        <w:rPr>
          <w:color w:val="000000" w:themeColor="text1"/>
        </w:rPr>
        <w:br/>
      </w:r>
    </w:p>
    <w:p w14:paraId="523E86D7" w14:textId="77777777" w:rsidR="00B710DB" w:rsidRPr="00595104" w:rsidRDefault="00B710DB" w:rsidP="00B710DB">
      <w:pPr>
        <w:pStyle w:val="Heading2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95104">
        <w:rPr>
          <w:rStyle w:val="Strong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5. Conclusion</w:t>
      </w:r>
    </w:p>
    <w:p w14:paraId="43C7BDB2" w14:textId="541470CC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Both the Gordon-Shapiro Model and the Potential Payback Period (PPP) aim to convert the static P/E ratio into a dynamic valuation tool by introducing growth and discounting. While the GGM was an important early innovation, it suffers from key theoretical limitations, particularly the requirement that </w:t>
      </w:r>
      <w:r w:rsidRPr="00595104">
        <w:rPr>
          <w:rStyle w:val="katex-mathml"/>
          <w:b/>
          <w:bCs/>
          <w:color w:val="000000" w:themeColor="text1"/>
          <w:lang w:val="en-US"/>
        </w:rPr>
        <w:t>g</w:t>
      </w:r>
      <w:r w:rsidR="004D3CAE" w:rsidRPr="00595104">
        <w:rPr>
          <w:rStyle w:val="katex-mathml"/>
          <w:b/>
          <w:bCs/>
          <w:color w:val="000000" w:themeColor="text1"/>
          <w:lang w:val="en-US"/>
        </w:rPr>
        <w:t xml:space="preserve"> </w:t>
      </w:r>
      <w:r w:rsidRPr="00595104">
        <w:rPr>
          <w:rStyle w:val="katex-mathml"/>
          <w:b/>
          <w:bCs/>
          <w:color w:val="000000" w:themeColor="text1"/>
          <w:lang w:val="en-US"/>
        </w:rPr>
        <w:t>&lt;</w:t>
      </w:r>
      <w:r w:rsidR="004D3CAE" w:rsidRPr="00595104">
        <w:rPr>
          <w:rStyle w:val="katex-mathml"/>
          <w:b/>
          <w:bCs/>
          <w:color w:val="000000" w:themeColor="text1"/>
          <w:lang w:val="en-US"/>
        </w:rPr>
        <w:t xml:space="preserve"> </w:t>
      </w:r>
      <w:r w:rsidRPr="00595104">
        <w:rPr>
          <w:rStyle w:val="katex-mathml"/>
          <w:b/>
          <w:bCs/>
          <w:color w:val="000000" w:themeColor="text1"/>
          <w:lang w:val="en-US"/>
        </w:rPr>
        <w:t>r</w:t>
      </w:r>
      <w:r w:rsidRPr="00595104">
        <w:rPr>
          <w:color w:val="000000" w:themeColor="text1"/>
          <w:lang w:val="en-US"/>
        </w:rPr>
        <w:t xml:space="preserve"> and the assumption of constant perpetual growth.</w:t>
      </w:r>
    </w:p>
    <w:p w14:paraId="60C53C77" w14:textId="77777777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 xml:space="preserve">The PPP overcomes these restrictions with a </w:t>
      </w:r>
      <w:r w:rsidRPr="00595104">
        <w:rPr>
          <w:rStyle w:val="Strong"/>
          <w:color w:val="000000" w:themeColor="text1"/>
          <w:lang w:val="en-US"/>
        </w:rPr>
        <w:t>logarithmic, time-based framework</w:t>
      </w:r>
      <w:r w:rsidRPr="00595104">
        <w:rPr>
          <w:color w:val="000000" w:themeColor="text1"/>
          <w:lang w:val="en-US"/>
        </w:rPr>
        <w:t xml:space="preserve"> that adapts to real-world scenarios, accommodates variable growth, and delivers a clear recovery interpretation. That it reduces to the P/E ratio under static conditions confirms the PPP’s coherence and generality.</w:t>
      </w:r>
    </w:p>
    <w:p w14:paraId="09AD832A" w14:textId="5EFD2455" w:rsidR="00B710DB" w:rsidRPr="00595104" w:rsidRDefault="00B710DB" w:rsidP="00B710DB">
      <w:pPr>
        <w:pStyle w:val="NormalWeb"/>
        <w:rPr>
          <w:color w:val="000000" w:themeColor="text1"/>
          <w:lang w:val="en-US"/>
        </w:rPr>
      </w:pPr>
      <w:r w:rsidRPr="00595104">
        <w:rPr>
          <w:color w:val="000000" w:themeColor="text1"/>
          <w:lang w:val="en-US"/>
        </w:rPr>
        <w:t>As such, the PPP offers a unified valuation methodology that redefines the P/E ratio in dynamic, forward-looking terms — and invites further empirical validation and application across sectors, regions, and market cycles.</w:t>
      </w:r>
      <w:r w:rsidR="00A711B6" w:rsidRPr="00595104">
        <w:rPr>
          <w:color w:val="000000" w:themeColor="text1"/>
          <w:lang w:val="en-US"/>
        </w:rPr>
        <w:br/>
      </w:r>
    </w:p>
    <w:p w14:paraId="0563C159" w14:textId="61BE4DBF" w:rsidR="00A711B6" w:rsidRPr="00771F4D" w:rsidRDefault="009523C7" w:rsidP="00771F4D">
      <w:pPr>
        <w:rPr>
          <w:color w:val="000000" w:themeColor="text1"/>
        </w:rPr>
      </w:pPr>
      <w:r w:rsidRPr="009523C7">
        <w:rPr>
          <w:noProof/>
          <w:color w:val="000000" w:themeColor="text1"/>
        </w:rPr>
        <w:pict w14:anchorId="49B8B691">
          <v:rect id="_x0000_i1026" alt="" style="width:453.3pt;height:.05pt;mso-width-percent:0;mso-height-percent:0;mso-width-percent:0;mso-height-percent:0" o:hralign="center" o:hrstd="t" o:hr="t" fillcolor="#a0a0a0" stroked="f"/>
        </w:pict>
      </w:r>
    </w:p>
    <w:p w14:paraId="7478913D" w14:textId="06DA7268" w:rsidR="00FD5B1D" w:rsidRPr="007D25ED" w:rsidRDefault="00FD5B1D" w:rsidP="00FD5B1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spellStart"/>
      <w:r w:rsidRPr="00FD5B1D">
        <w:rPr>
          <w:rFonts w:ascii="Times New Roman" w:eastAsia="Times New Roman" w:hAnsi="Times New Roman" w:cs="Times New Roman"/>
          <w:b/>
          <w:bCs/>
          <w:sz w:val="32"/>
          <w:szCs w:val="32"/>
        </w:rPr>
        <w:t>References</w:t>
      </w:r>
      <w:proofErr w:type="spellEnd"/>
    </w:p>
    <w:p w14:paraId="133B7C97" w14:textId="77777777" w:rsidR="007D25ED" w:rsidRPr="00FD5B1D" w:rsidRDefault="007D25ED" w:rsidP="00FD5B1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68CE84" w14:textId="561377CE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Sam, </w:t>
      </w:r>
      <w:proofErr w:type="spellStart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Rainsy</w:t>
      </w:r>
      <w:proofErr w:type="spellEnd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Proving that the P/E Ratio is Just a Limiting Case of the Potential Payback Period (PPP) When Earnings Growth and Interest Rate are Ignored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, Preprints, 15 May 2025. </w:t>
      </w:r>
      <w:hyperlink r:id="rId14" w:tgtFrame="_new" w:history="1">
        <w:r w:rsidRPr="00FD5B1D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https://doi.</w:t>
        </w:r>
        <w:r w:rsidRPr="00FD5B1D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o</w:t>
        </w:r>
        <w:r w:rsidRPr="00FD5B1D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rg/10.20944/preprints202505.1236.v1</w:t>
        </w:r>
      </w:hyperlink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5FC77372" w14:textId="43E7F5D9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Sam, </w:t>
      </w:r>
      <w:proofErr w:type="spellStart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Rainsy</w:t>
      </w:r>
      <w:proofErr w:type="spellEnd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Extending the P/E and PEG Ratios: The Role of the Potential Payback Period (PPP) in Modern Equity Valuation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, Preprints, 06 May 2025. </w:t>
      </w:r>
      <w:hyperlink r:id="rId15" w:tgtFrame="_new" w:history="1">
        <w:r w:rsidRPr="00FD5B1D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https://doi.org/10.20944/preprints202505.021</w:t>
        </w:r>
        <w:r w:rsidRPr="00FD5B1D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3</w:t>
        </w:r>
        <w:r w:rsidRPr="00FD5B1D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.v1</w:t>
        </w:r>
      </w:hyperlink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2B865C9A" w14:textId="5E2431EF" w:rsidR="007D25ED" w:rsidRPr="00FD5B1D" w:rsidRDefault="00FD5B1D" w:rsidP="007D25E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en-US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lastRenderedPageBreak/>
        <w:t xml:space="preserve">Sam, </w:t>
      </w:r>
      <w:proofErr w:type="spellStart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Rainsy</w:t>
      </w:r>
      <w:proofErr w:type="spellEnd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How to Adjust the P/E Ratio for Earnings Growth in Equity Valuation: PEG or PPP?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, Preprints, 06 May 2025. </w:t>
      </w:r>
      <w:hyperlink r:id="rId16" w:history="1"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https://doi.org/10.20944/pr</w:t>
        </w:r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e</w:t>
        </w:r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prints20</w:t>
        </w:r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2</w:t>
        </w:r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505.0212.v1</w:t>
        </w:r>
      </w:hyperlink>
      <w:r w:rsidR="007D25ED">
        <w:rPr>
          <w:rFonts w:ascii="Times New Roman" w:eastAsia="Times New Roman" w:hAnsi="Times New Roman" w:cs="Times New Roman"/>
          <w:szCs w:val="24"/>
          <w:lang w:val="en-US"/>
        </w:rPr>
        <w:br/>
      </w:r>
    </w:p>
    <w:p w14:paraId="7D06B4B7" w14:textId="5359C867" w:rsidR="007D25ED" w:rsidRPr="00FD5B1D" w:rsidRDefault="00FD5B1D" w:rsidP="007D25E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en-US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Sam, </w:t>
      </w:r>
      <w:proofErr w:type="spellStart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Rainsy</w:t>
      </w:r>
      <w:proofErr w:type="spellEnd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How the Potential Payback Period (PPP) Extends and Surpasses the Gordon Growth Model (GGM) at the Limits of Financial Theory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, Preprints, 20 May 2025. </w:t>
      </w:r>
      <w:hyperlink r:id="rId17" w:history="1"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https://doi.org/10.2</w:t>
        </w:r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0</w:t>
        </w:r>
        <w:r w:rsidR="007D25ED" w:rsidRPr="00FD5B1D">
          <w:rPr>
            <w:rStyle w:val="Hyperlink"/>
            <w:rFonts w:ascii="Times New Roman" w:eastAsia="Times New Roman" w:hAnsi="Times New Roman" w:cs="Times New Roman"/>
            <w:szCs w:val="24"/>
            <w:lang w:val="en-US"/>
          </w:rPr>
          <w:t>944/preprints202505.1451.v1</w:t>
        </w:r>
      </w:hyperlink>
      <w:r w:rsidR="007D25ED">
        <w:rPr>
          <w:rFonts w:ascii="Times New Roman" w:eastAsia="Times New Roman" w:hAnsi="Times New Roman" w:cs="Times New Roman"/>
          <w:szCs w:val="24"/>
          <w:lang w:val="en-US"/>
        </w:rPr>
        <w:br/>
      </w:r>
    </w:p>
    <w:p w14:paraId="0BAFFECF" w14:textId="366A0903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Gordon, M. J., &amp; Shapiro, E.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(1956).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Capital Equipment Analysis: The Required Rate of Profit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. </w:t>
      </w:r>
      <w:r w:rsidRPr="00FD5B1D">
        <w:rPr>
          <w:rFonts w:ascii="Times New Roman" w:eastAsia="Times New Roman" w:hAnsi="Times New Roman" w:cs="Times New Roman"/>
          <w:szCs w:val="24"/>
        </w:rPr>
        <w:t>Management Science, 3(1), 102–110.</w:t>
      </w:r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79CF0886" w14:textId="1CE879A8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Damodaran, A.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(2012).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Investment Valuation: Tools and Techniques for Determining the Value of Any Asset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(3rd ed.).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Wiley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 xml:space="preserve"> Finance.</w:t>
      </w:r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16870384" w14:textId="1D8FD309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Penman, S. H.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(2012).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Financial Statement Analysis and Security Valuation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(5th ed.).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McGraw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 xml:space="preserve">-Hill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Education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>.</w:t>
      </w:r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549EA05D" w14:textId="319FD22B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en-US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Bodie, Z., Kane, A., &amp; Marcus, A. J.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(2018).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Investments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(11th ed.). McGraw-Hill Education.</w:t>
      </w:r>
      <w:r w:rsidR="007D25ED">
        <w:rPr>
          <w:rFonts w:ascii="Times New Roman" w:eastAsia="Times New Roman" w:hAnsi="Times New Roman" w:cs="Times New Roman"/>
          <w:szCs w:val="24"/>
          <w:lang w:val="en-US"/>
        </w:rPr>
        <w:br/>
      </w:r>
    </w:p>
    <w:p w14:paraId="647AFF94" w14:textId="5B4E838D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Koller, T., </w:t>
      </w:r>
      <w:proofErr w:type="spellStart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Goedhart</w:t>
      </w:r>
      <w:proofErr w:type="spellEnd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, M., &amp; Wessels, D.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(2020).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Valuation: Measuring and Managing the Value of Companies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(7th ed.). </w:t>
      </w:r>
      <w:r w:rsidRPr="00FD5B1D">
        <w:rPr>
          <w:rFonts w:ascii="Times New Roman" w:eastAsia="Times New Roman" w:hAnsi="Times New Roman" w:cs="Times New Roman"/>
          <w:szCs w:val="24"/>
        </w:rPr>
        <w:t xml:space="preserve">McKinsey &amp;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Company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 xml:space="preserve">, Inc. and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Wiley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>.</w:t>
      </w:r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5DABAAE7" w14:textId="6E19A072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Frankel, R., &amp; Lee, C. M. C.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(1998).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Accounting Valuation, Market Expectation, and Cross-Sectional Stock Returns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. </w:t>
      </w:r>
      <w:r w:rsidRPr="00FD5B1D">
        <w:rPr>
          <w:rFonts w:ascii="Times New Roman" w:eastAsia="Times New Roman" w:hAnsi="Times New Roman" w:cs="Times New Roman"/>
          <w:szCs w:val="24"/>
        </w:rPr>
        <w:t xml:space="preserve">Journal of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Accounting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 xml:space="preserve"> and </w:t>
      </w:r>
      <w:proofErr w:type="spellStart"/>
      <w:r w:rsidRPr="00FD5B1D">
        <w:rPr>
          <w:rFonts w:ascii="Times New Roman" w:eastAsia="Times New Roman" w:hAnsi="Times New Roman" w:cs="Times New Roman"/>
          <w:szCs w:val="24"/>
        </w:rPr>
        <w:t>Economics</w:t>
      </w:r>
      <w:proofErr w:type="spellEnd"/>
      <w:r w:rsidRPr="00FD5B1D">
        <w:rPr>
          <w:rFonts w:ascii="Times New Roman" w:eastAsia="Times New Roman" w:hAnsi="Times New Roman" w:cs="Times New Roman"/>
          <w:szCs w:val="24"/>
        </w:rPr>
        <w:t>, 25(3), 283–319.</w:t>
      </w:r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1DC84D77" w14:textId="682D28A7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proofErr w:type="spellStart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Ruback</w:t>
      </w:r>
      <w:proofErr w:type="spellEnd"/>
      <w:r w:rsidRPr="00FD5B1D">
        <w:rPr>
          <w:rFonts w:ascii="Times New Roman" w:eastAsia="Times New Roman" w:hAnsi="Times New Roman" w:cs="Times New Roman"/>
          <w:b/>
          <w:bCs/>
          <w:szCs w:val="24"/>
          <w:lang w:val="en-US"/>
        </w:rPr>
        <w:t>, R. S.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 (2000).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Capital Cash Flows: A Simple Approach to Valuing Risky Cash Flows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. </w:t>
      </w:r>
      <w:r w:rsidRPr="00FD5B1D">
        <w:rPr>
          <w:rFonts w:ascii="Times New Roman" w:eastAsia="Times New Roman" w:hAnsi="Times New Roman" w:cs="Times New Roman"/>
          <w:szCs w:val="24"/>
        </w:rPr>
        <w:t>Financial Management, 31(2), 85–103.</w:t>
      </w:r>
      <w:r w:rsidR="007D25ED">
        <w:rPr>
          <w:rFonts w:ascii="Times New Roman" w:eastAsia="Times New Roman" w:hAnsi="Times New Roman" w:cs="Times New Roman"/>
          <w:szCs w:val="24"/>
        </w:rPr>
        <w:br/>
      </w:r>
    </w:p>
    <w:p w14:paraId="28509723" w14:textId="77777777" w:rsidR="00FD5B1D" w:rsidRPr="00FD5B1D" w:rsidRDefault="00FD5B1D" w:rsidP="00FD5B1D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b/>
          <w:bCs/>
          <w:szCs w:val="24"/>
        </w:rPr>
        <w:t>Modigliani, F., &amp; Miller, M. H.</w:t>
      </w:r>
      <w:r w:rsidRPr="00FD5B1D">
        <w:rPr>
          <w:rFonts w:ascii="Times New Roman" w:eastAsia="Times New Roman" w:hAnsi="Times New Roman" w:cs="Times New Roman"/>
          <w:szCs w:val="24"/>
        </w:rPr>
        <w:t xml:space="preserve"> (1961). </w:t>
      </w:r>
      <w:r w:rsidRPr="00FD5B1D">
        <w:rPr>
          <w:rFonts w:ascii="Times New Roman" w:eastAsia="Times New Roman" w:hAnsi="Times New Roman" w:cs="Times New Roman"/>
          <w:i/>
          <w:iCs/>
          <w:szCs w:val="24"/>
          <w:lang w:val="en-US"/>
        </w:rPr>
        <w:t>Dividend Policy, Growth, and the Valuation of Shares</w:t>
      </w:r>
      <w:r w:rsidRPr="00FD5B1D">
        <w:rPr>
          <w:rFonts w:ascii="Times New Roman" w:eastAsia="Times New Roman" w:hAnsi="Times New Roman" w:cs="Times New Roman"/>
          <w:szCs w:val="24"/>
          <w:lang w:val="en-US"/>
        </w:rPr>
        <w:t xml:space="preserve">. </w:t>
      </w:r>
      <w:r w:rsidRPr="00FD5B1D">
        <w:rPr>
          <w:rFonts w:ascii="Times New Roman" w:eastAsia="Times New Roman" w:hAnsi="Times New Roman" w:cs="Times New Roman"/>
          <w:szCs w:val="24"/>
        </w:rPr>
        <w:t>Journal of Business, 34(4), 411–433.</w:t>
      </w:r>
    </w:p>
    <w:p w14:paraId="36C2E970" w14:textId="77777777" w:rsidR="00FD5B1D" w:rsidRPr="00FD5B1D" w:rsidRDefault="009523C7" w:rsidP="00FD5B1D">
      <w:pPr>
        <w:rPr>
          <w:rFonts w:ascii="Times New Roman" w:eastAsia="Times New Roman" w:hAnsi="Times New Roman" w:cs="Times New Roman"/>
          <w:szCs w:val="24"/>
        </w:rPr>
      </w:pPr>
      <w:r w:rsidRPr="00FD5B1D">
        <w:rPr>
          <w:rFonts w:ascii="Times New Roman" w:eastAsia="Times New Roman" w:hAnsi="Times New Roman" w:cs="Times New Roman"/>
          <w:noProof/>
          <w:szCs w:val="24"/>
        </w:rPr>
        <w:pict w14:anchorId="689342DA">
          <v:rect id="_x0000_i1025" alt="" style="width:453.3pt;height:.05pt;mso-width-percent:0;mso-height-percent:0;mso-width-percent:0;mso-height-percent:0" o:hralign="center" o:hrstd="t" o:hr="t" fillcolor="#a0a0a0" stroked="f"/>
        </w:pict>
      </w:r>
    </w:p>
    <w:p w14:paraId="752B6CCF" w14:textId="77777777" w:rsidR="00FD5B1D" w:rsidRPr="00B710DB" w:rsidRDefault="00FD5B1D" w:rsidP="00B710DB">
      <w:pPr>
        <w:rPr>
          <w:color w:val="FF0000"/>
        </w:rPr>
      </w:pPr>
    </w:p>
    <w:p w14:paraId="5DE27979" w14:textId="0DD2BD3E" w:rsidR="007D25ED" w:rsidRPr="00B710DB" w:rsidRDefault="00B710DB" w:rsidP="007D25ED">
      <w:pPr>
        <w:pStyle w:val="Heading2"/>
        <w:rPr>
          <w:color w:val="FF0000"/>
        </w:rPr>
      </w:pPr>
      <w:r w:rsidRPr="00B710DB">
        <w:rPr>
          <w:rStyle w:val="Strong"/>
          <w:rFonts w:ascii="Times New Roman" w:hAnsi="Times New Roman" w:cs="Times New Roman"/>
          <w:color w:val="FF0000"/>
          <w:sz w:val="28"/>
          <w:szCs w:val="28"/>
          <w:lang w:val="en-US"/>
        </w:rPr>
        <w:br/>
      </w:r>
    </w:p>
    <w:p w14:paraId="3A94E23F" w14:textId="64E44916" w:rsidR="00B710DB" w:rsidRPr="00B710DB" w:rsidRDefault="00B710DB" w:rsidP="00B710DB">
      <w:pPr>
        <w:rPr>
          <w:color w:val="FF0000"/>
        </w:rPr>
      </w:pPr>
    </w:p>
    <w:sectPr w:rsidR="00B710DB" w:rsidRPr="00B710DB" w:rsidSect="006D618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420FE"/>
    <w:multiLevelType w:val="multilevel"/>
    <w:tmpl w:val="F1EE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66C42"/>
    <w:multiLevelType w:val="multilevel"/>
    <w:tmpl w:val="F9B8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B549D"/>
    <w:multiLevelType w:val="multilevel"/>
    <w:tmpl w:val="B0868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EC6009"/>
    <w:multiLevelType w:val="multilevel"/>
    <w:tmpl w:val="E3AA8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AD59FF"/>
    <w:multiLevelType w:val="multilevel"/>
    <w:tmpl w:val="C73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4C117F"/>
    <w:multiLevelType w:val="multilevel"/>
    <w:tmpl w:val="D99C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C40F84"/>
    <w:multiLevelType w:val="multilevel"/>
    <w:tmpl w:val="C89E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1F5C1D"/>
    <w:multiLevelType w:val="multilevel"/>
    <w:tmpl w:val="FCB8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536B52"/>
    <w:multiLevelType w:val="multilevel"/>
    <w:tmpl w:val="CD002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1824B4"/>
    <w:multiLevelType w:val="multilevel"/>
    <w:tmpl w:val="835E3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600"/>
    <w:rsid w:val="0000048E"/>
    <w:rsid w:val="00164A1D"/>
    <w:rsid w:val="00213A4F"/>
    <w:rsid w:val="003B1373"/>
    <w:rsid w:val="0041642E"/>
    <w:rsid w:val="00440768"/>
    <w:rsid w:val="004D3CAE"/>
    <w:rsid w:val="004F007F"/>
    <w:rsid w:val="00533821"/>
    <w:rsid w:val="00595104"/>
    <w:rsid w:val="0063776E"/>
    <w:rsid w:val="00666591"/>
    <w:rsid w:val="00695F8A"/>
    <w:rsid w:val="006D6185"/>
    <w:rsid w:val="006E011F"/>
    <w:rsid w:val="00771F4D"/>
    <w:rsid w:val="007A2600"/>
    <w:rsid w:val="007D25ED"/>
    <w:rsid w:val="007E5518"/>
    <w:rsid w:val="008158B2"/>
    <w:rsid w:val="008C3EA1"/>
    <w:rsid w:val="009056B9"/>
    <w:rsid w:val="009523C7"/>
    <w:rsid w:val="009815C3"/>
    <w:rsid w:val="00A711B6"/>
    <w:rsid w:val="00AE28ED"/>
    <w:rsid w:val="00B710DB"/>
    <w:rsid w:val="00BC76BD"/>
    <w:rsid w:val="00C22E49"/>
    <w:rsid w:val="00C70BA5"/>
    <w:rsid w:val="00D84D0C"/>
    <w:rsid w:val="00DC2C7E"/>
    <w:rsid w:val="00E146F3"/>
    <w:rsid w:val="00EA06A8"/>
    <w:rsid w:val="00EC08DE"/>
    <w:rsid w:val="00ED7FB0"/>
    <w:rsid w:val="00F16184"/>
    <w:rsid w:val="00F81F34"/>
    <w:rsid w:val="00FD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7FA28D"/>
  <w15:chartTrackingRefBased/>
  <w15:docId w15:val="{20A4F84F-4E60-1B4A-8C4B-F460B0FB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9"/>
        <w:lang w:val="fr-FR" w:eastAsia="en-US" w:bidi="km-K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D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42"/>
    </w:rPr>
  </w:style>
  <w:style w:type="paragraph" w:styleId="Heading3">
    <w:name w:val="heading 3"/>
    <w:basedOn w:val="Normal"/>
    <w:link w:val="Heading3Char"/>
    <w:uiPriority w:val="9"/>
    <w:qFormat/>
    <w:rsid w:val="007A260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3E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7A260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7A2600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A26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A26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7A2600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Strong">
    <w:name w:val="Strong"/>
    <w:basedOn w:val="DefaultParagraphFont"/>
    <w:uiPriority w:val="22"/>
    <w:qFormat/>
    <w:rsid w:val="007A2600"/>
    <w:rPr>
      <w:b/>
      <w:bCs/>
    </w:rPr>
  </w:style>
  <w:style w:type="paragraph" w:styleId="NormalWeb">
    <w:name w:val="Normal (Web)"/>
    <w:basedOn w:val="Normal"/>
    <w:uiPriority w:val="99"/>
    <w:unhideWhenUsed/>
    <w:rsid w:val="007A260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katex-mathml">
    <w:name w:val="katex-mathml"/>
    <w:basedOn w:val="DefaultParagraphFont"/>
    <w:rsid w:val="007A2600"/>
  </w:style>
  <w:style w:type="character" w:customStyle="1" w:styleId="mord">
    <w:name w:val="mord"/>
    <w:basedOn w:val="DefaultParagraphFont"/>
    <w:rsid w:val="007A2600"/>
  </w:style>
  <w:style w:type="character" w:customStyle="1" w:styleId="mrel">
    <w:name w:val="mrel"/>
    <w:basedOn w:val="DefaultParagraphFont"/>
    <w:rsid w:val="007A2600"/>
  </w:style>
  <w:style w:type="character" w:customStyle="1" w:styleId="mopen">
    <w:name w:val="mopen"/>
    <w:basedOn w:val="DefaultParagraphFont"/>
    <w:rsid w:val="007A2600"/>
  </w:style>
  <w:style w:type="character" w:customStyle="1" w:styleId="mbin">
    <w:name w:val="mbin"/>
    <w:basedOn w:val="DefaultParagraphFont"/>
    <w:rsid w:val="007A2600"/>
  </w:style>
  <w:style w:type="character" w:customStyle="1" w:styleId="vlist-s">
    <w:name w:val="vlist-s"/>
    <w:basedOn w:val="DefaultParagraphFont"/>
    <w:rsid w:val="007A2600"/>
  </w:style>
  <w:style w:type="character" w:customStyle="1" w:styleId="mclose">
    <w:name w:val="mclose"/>
    <w:basedOn w:val="DefaultParagraphFont"/>
    <w:rsid w:val="007A2600"/>
  </w:style>
  <w:style w:type="character" w:customStyle="1" w:styleId="mop">
    <w:name w:val="mop"/>
    <w:basedOn w:val="DefaultParagraphFont"/>
    <w:rsid w:val="007A2600"/>
  </w:style>
  <w:style w:type="character" w:customStyle="1" w:styleId="delimsizing">
    <w:name w:val="delimsizing"/>
    <w:basedOn w:val="DefaultParagraphFont"/>
    <w:rsid w:val="007A2600"/>
  </w:style>
  <w:style w:type="character" w:customStyle="1" w:styleId="mpunct">
    <w:name w:val="mpunct"/>
    <w:basedOn w:val="DefaultParagraphFont"/>
    <w:rsid w:val="007A2600"/>
  </w:style>
  <w:style w:type="character" w:customStyle="1" w:styleId="Heading4Char">
    <w:name w:val="Heading 4 Char"/>
    <w:basedOn w:val="DefaultParagraphFont"/>
    <w:link w:val="Heading4"/>
    <w:uiPriority w:val="9"/>
    <w:semiHidden/>
    <w:rsid w:val="008C3E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D84D0C"/>
    <w:rPr>
      <w:rFonts w:asciiTheme="majorHAnsi" w:eastAsiaTheme="majorEastAsia" w:hAnsiTheme="majorHAnsi" w:cstheme="majorBidi"/>
      <w:color w:val="2F5496" w:themeColor="accent1" w:themeShade="BF"/>
      <w:sz w:val="26"/>
      <w:szCs w:val="42"/>
    </w:rPr>
  </w:style>
  <w:style w:type="character" w:customStyle="1" w:styleId="sr-only">
    <w:name w:val="sr-only"/>
    <w:basedOn w:val="DefaultParagraphFont"/>
    <w:rsid w:val="00D84D0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84D0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2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84D0C"/>
    <w:rPr>
      <w:rFonts w:ascii="Arial" w:eastAsia="Times New Roman" w:hAnsi="Arial" w:cs="Arial"/>
      <w:vanish/>
      <w:sz w:val="16"/>
      <w:szCs w:val="2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84D0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2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84D0C"/>
    <w:rPr>
      <w:rFonts w:ascii="Arial" w:eastAsia="Times New Roman" w:hAnsi="Arial" w:cs="Arial"/>
      <w:vanish/>
      <w:sz w:val="16"/>
      <w:szCs w:val="26"/>
    </w:rPr>
  </w:style>
  <w:style w:type="character" w:styleId="Emphasis">
    <w:name w:val="Emphasis"/>
    <w:basedOn w:val="DefaultParagraphFont"/>
    <w:uiPriority w:val="20"/>
    <w:qFormat/>
    <w:rsid w:val="00D84D0C"/>
    <w:rPr>
      <w:i/>
      <w:iCs/>
    </w:rPr>
  </w:style>
  <w:style w:type="character" w:styleId="Hyperlink">
    <w:name w:val="Hyperlink"/>
    <w:basedOn w:val="DefaultParagraphFont"/>
    <w:uiPriority w:val="99"/>
    <w:unhideWhenUsed/>
    <w:rsid w:val="00D84D0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25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25E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D25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43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1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45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058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07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86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84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39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17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7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38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7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805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785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466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11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71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682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51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2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7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02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89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55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03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89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5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14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26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62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04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097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7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290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95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42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9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2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272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90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491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5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0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19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2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5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12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77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3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0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1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2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8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3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809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6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1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8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18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07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7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660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8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5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818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83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8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5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29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64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7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99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508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9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20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306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7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0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57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3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697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86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24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8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s://doi.org/10.20944/preprints202505.1451.v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0944/preprints202505.0212.v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doi.org/10.20944/preprints202505.0213.v1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doi.org/10.20944/preprints202505.1236.v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2025-07-08T00:11:00Z</dcterms:created>
  <dcterms:modified xsi:type="dcterms:W3CDTF">2025-07-08T00:18:00Z</dcterms:modified>
</cp:coreProperties>
</file>